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4FC5B" w14:textId="4A95E39F" w:rsidR="00B17D09" w:rsidRDefault="6961AD43" w:rsidP="773C0E45">
      <w:pPr>
        <w:rPr>
          <w:rFonts w:ascii="Aptos" w:eastAsia="Aptos" w:hAnsi="Aptos" w:cs="Aptos"/>
          <w:color w:val="000000" w:themeColor="text1"/>
        </w:rPr>
      </w:pPr>
      <w:r w:rsidRPr="773C0E45">
        <w:rPr>
          <w:rFonts w:ascii="Aptos" w:eastAsia="Aptos" w:hAnsi="Aptos" w:cs="Aptos"/>
          <w:b/>
          <w:bCs/>
          <w:color w:val="000000" w:themeColor="text1"/>
        </w:rPr>
        <w:t>Rivers Run Through Us Community Grant Scoring</w:t>
      </w:r>
    </w:p>
    <w:p w14:paraId="7FF9CDDF" w14:textId="18B6C20A" w:rsidR="00B17D09" w:rsidRDefault="6961AD43" w:rsidP="773C0E45">
      <w:pPr>
        <w:rPr>
          <w:rFonts w:ascii="Aptos" w:eastAsia="Aptos" w:hAnsi="Aptos" w:cs="Aptos"/>
          <w:color w:val="000000" w:themeColor="text1"/>
        </w:rPr>
      </w:pPr>
      <w:r w:rsidRPr="773C0E45">
        <w:rPr>
          <w:rFonts w:ascii="Aptos" w:eastAsia="Aptos" w:hAnsi="Aptos" w:cs="Aptos"/>
          <w:color w:val="000000" w:themeColor="text1"/>
        </w:rPr>
        <w:t>The River Axe was described in Victorian times as ‘one of the most beautiful of the sparkling trout streams which contribute to Devonshire’s claims to be the Arcadia of England’. Now, the River Axe Special Area of Conservation is in ‘unfavourable condition’, steadily declining through nutrient enrichment and sediment pollution.</w:t>
      </w:r>
    </w:p>
    <w:p w14:paraId="2319A7D3" w14:textId="04C904D6" w:rsidR="00B17D09" w:rsidRDefault="6961AD43" w:rsidP="773C0E45">
      <w:pPr>
        <w:rPr>
          <w:rFonts w:ascii="Aptos" w:eastAsia="Aptos" w:hAnsi="Aptos" w:cs="Aptos"/>
          <w:color w:val="000000" w:themeColor="text1"/>
        </w:rPr>
      </w:pPr>
      <w:r w:rsidRPr="773C0E45">
        <w:rPr>
          <w:rFonts w:ascii="Aptos" w:eastAsia="Aptos" w:hAnsi="Aptos" w:cs="Aptos"/>
          <w:color w:val="000000" w:themeColor="text1"/>
        </w:rPr>
        <w:t xml:space="preserve">Rivers Run Through Us takes a holistic, collaborative approach to recapturing the natural heritage of the Axe, its tributaries and valleys, through better connections, (between people and heritage, farmers and consumers, rural and townsfolk, soil and water). </w:t>
      </w:r>
    </w:p>
    <w:p w14:paraId="614D0DC8" w14:textId="3F782C9F" w:rsidR="00B17D09" w:rsidRDefault="6961AD43" w:rsidP="773C0E45">
      <w:pPr>
        <w:rPr>
          <w:rFonts w:ascii="Aptos" w:eastAsia="Aptos" w:hAnsi="Aptos" w:cs="Aptos"/>
          <w:color w:val="000000" w:themeColor="text1"/>
        </w:rPr>
      </w:pPr>
      <w:r w:rsidRPr="773C0E45">
        <w:rPr>
          <w:rFonts w:ascii="Aptos" w:eastAsia="Aptos" w:hAnsi="Aptos" w:cs="Aptos"/>
          <w:color w:val="000000" w:themeColor="text1"/>
        </w:rPr>
        <w:t>Focusing on three themes: River, Soil and People, RRTU aim to support and nurture community action via monitoring river health, restoring soils and habitats, and reaching out to empower everyone to find their own connection with the river and its heritage.</w:t>
      </w:r>
    </w:p>
    <w:p w14:paraId="78048364" w14:textId="39127E2F" w:rsidR="00B17D09" w:rsidRDefault="6961AD43" w:rsidP="773C0E45">
      <w:pPr>
        <w:rPr>
          <w:rFonts w:ascii="Aptos" w:eastAsia="Aptos" w:hAnsi="Aptos" w:cs="Aptos"/>
          <w:color w:val="000000" w:themeColor="text1"/>
        </w:rPr>
      </w:pPr>
      <w:r w:rsidRPr="773C0E45">
        <w:rPr>
          <w:rFonts w:ascii="Aptos" w:eastAsia="Aptos" w:hAnsi="Aptos" w:cs="Aptos"/>
          <w:b/>
          <w:bCs/>
          <w:color w:val="000000" w:themeColor="text1"/>
        </w:rPr>
        <w:t>We hope to support others to help with this mission by offering this Community Grant.</w:t>
      </w:r>
    </w:p>
    <w:p w14:paraId="458AA106" w14:textId="7F5BFBEC" w:rsidR="00B17D09" w:rsidRDefault="6961AD43" w:rsidP="773C0E45">
      <w:pPr>
        <w:rPr>
          <w:rFonts w:ascii="Aptos" w:eastAsia="Aptos" w:hAnsi="Aptos" w:cs="Aptos"/>
          <w:color w:val="000000" w:themeColor="text1"/>
        </w:rPr>
      </w:pPr>
      <w:r w:rsidRPr="773C0E45">
        <w:rPr>
          <w:rFonts w:ascii="Aptos" w:eastAsia="Aptos" w:hAnsi="Aptos" w:cs="Aptos"/>
          <w:b/>
          <w:bCs/>
          <w:color w:val="000000" w:themeColor="text1"/>
        </w:rPr>
        <w:t>Scoring criteria</w:t>
      </w:r>
    </w:p>
    <w:p w14:paraId="78A0AF1D" w14:textId="28CF5CB9" w:rsidR="00B17D09" w:rsidRDefault="6961AD43" w:rsidP="773C0E45">
      <w:pPr>
        <w:spacing w:before="240" w:after="240"/>
        <w:rPr>
          <w:rFonts w:ascii="Aptos" w:eastAsia="Aptos" w:hAnsi="Aptos" w:cs="Aptos"/>
          <w:color w:val="000000" w:themeColor="text1"/>
        </w:rPr>
      </w:pPr>
      <w:r w:rsidRPr="773C0E45">
        <w:rPr>
          <w:rFonts w:ascii="Aptos" w:eastAsia="Aptos" w:hAnsi="Aptos" w:cs="Aptos"/>
          <w:color w:val="000000" w:themeColor="text1"/>
        </w:rPr>
        <w:t>A points system will be applied to each application. Points will be allocated to applications that meet the following criteria:</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375"/>
        <w:gridCol w:w="2625"/>
      </w:tblGrid>
      <w:tr w:rsidR="773C0E45" w14:paraId="6CD3C4BD" w14:textId="77777777" w:rsidTr="773C0E45">
        <w:trPr>
          <w:trHeight w:val="300"/>
        </w:trPr>
        <w:tc>
          <w:tcPr>
            <w:tcW w:w="6375" w:type="dxa"/>
            <w:tcMar>
              <w:left w:w="105" w:type="dxa"/>
              <w:right w:w="105" w:type="dxa"/>
            </w:tcMar>
          </w:tcPr>
          <w:p w14:paraId="65AC4169" w14:textId="2CC1F93D" w:rsidR="773C0E45" w:rsidRDefault="773C0E45" w:rsidP="773C0E45">
            <w:pPr>
              <w:spacing w:after="0"/>
              <w:rPr>
                <w:rFonts w:ascii="Aptos" w:eastAsia="Aptos" w:hAnsi="Aptos" w:cs="Aptos"/>
                <w:sz w:val="22"/>
                <w:szCs w:val="22"/>
              </w:rPr>
            </w:pPr>
            <w:r w:rsidRPr="773C0E45">
              <w:rPr>
                <w:rFonts w:ascii="Aptos" w:eastAsia="Aptos" w:hAnsi="Aptos" w:cs="Aptos"/>
                <w:b/>
                <w:bCs/>
                <w:sz w:val="22"/>
                <w:szCs w:val="22"/>
              </w:rPr>
              <w:t>Applicant &amp; accessibility criteria:</w:t>
            </w:r>
          </w:p>
          <w:p w14:paraId="58FDC3A1" w14:textId="2ECD1F1B" w:rsidR="773C0E45" w:rsidRDefault="773C0E45" w:rsidP="773C0E45">
            <w:pPr>
              <w:spacing w:after="0"/>
              <w:rPr>
                <w:rFonts w:ascii="Aptos" w:eastAsia="Aptos" w:hAnsi="Aptos" w:cs="Aptos"/>
                <w:sz w:val="22"/>
                <w:szCs w:val="22"/>
              </w:rPr>
            </w:pPr>
            <w:r w:rsidRPr="773C0E45">
              <w:rPr>
                <w:rFonts w:ascii="Aptos" w:eastAsia="Aptos" w:hAnsi="Aptos" w:cs="Aptos"/>
                <w:b/>
                <w:bCs/>
                <w:color w:val="000000" w:themeColor="text1"/>
              </w:rPr>
              <w:t xml:space="preserve">All types </w:t>
            </w:r>
            <w:r w:rsidRPr="773C0E45">
              <w:rPr>
                <w:rFonts w:ascii="Aptos" w:eastAsia="Aptos" w:hAnsi="Aptos" w:cs="Aptos"/>
                <w:color w:val="000000" w:themeColor="text1"/>
              </w:rPr>
              <w:t>of community groups with</w:t>
            </w:r>
            <w:r w:rsidRPr="773C0E45">
              <w:rPr>
                <w:rFonts w:ascii="Aptos" w:eastAsia="Aptos" w:hAnsi="Aptos" w:cs="Aptos"/>
                <w:b/>
                <w:bCs/>
                <w:color w:val="000000" w:themeColor="text1"/>
              </w:rPr>
              <w:t xml:space="preserve"> a river focus </w:t>
            </w:r>
            <w:r w:rsidRPr="773C0E45">
              <w:rPr>
                <w:rFonts w:ascii="Aptos" w:eastAsia="Aptos" w:hAnsi="Aptos" w:cs="Aptos"/>
                <w:color w:val="000000" w:themeColor="text1"/>
              </w:rPr>
              <w:t>including</w:t>
            </w:r>
            <w:r w:rsidRPr="773C0E45">
              <w:rPr>
                <w:rFonts w:ascii="Aptos" w:eastAsia="Aptos" w:hAnsi="Aptos" w:cs="Aptos"/>
                <w:b/>
                <w:bCs/>
                <w:color w:val="000000" w:themeColor="text1"/>
              </w:rPr>
              <w:t xml:space="preserve"> wildlife, education, art &amp; heritage.</w:t>
            </w:r>
            <w:r w:rsidRPr="773C0E45">
              <w:rPr>
                <w:rFonts w:ascii="Aptos" w:eastAsia="Aptos" w:hAnsi="Aptos" w:cs="Aptos"/>
                <w:sz w:val="22"/>
                <w:szCs w:val="22"/>
              </w:rPr>
              <w:t xml:space="preserve"> Points will be awarded to those which are most accessible in terms of participation and location.</w:t>
            </w:r>
          </w:p>
        </w:tc>
        <w:tc>
          <w:tcPr>
            <w:tcW w:w="2625" w:type="dxa"/>
            <w:tcMar>
              <w:left w:w="105" w:type="dxa"/>
              <w:right w:w="105" w:type="dxa"/>
            </w:tcMar>
          </w:tcPr>
          <w:p w14:paraId="43BC27B7" w14:textId="14F378F8" w:rsidR="773C0E45" w:rsidRDefault="773C0E45" w:rsidP="773C0E45">
            <w:pPr>
              <w:spacing w:after="0"/>
              <w:rPr>
                <w:rFonts w:ascii="Aptos" w:eastAsia="Aptos" w:hAnsi="Aptos" w:cs="Aptos"/>
                <w:sz w:val="22"/>
                <w:szCs w:val="22"/>
              </w:rPr>
            </w:pPr>
          </w:p>
          <w:p w14:paraId="5CC44EE6" w14:textId="7B834B72" w:rsidR="773C0E45" w:rsidRDefault="773C0E45" w:rsidP="773C0E45">
            <w:pPr>
              <w:spacing w:after="0"/>
              <w:rPr>
                <w:rFonts w:ascii="Aptos" w:eastAsia="Aptos" w:hAnsi="Aptos" w:cs="Aptos"/>
                <w:sz w:val="22"/>
                <w:szCs w:val="22"/>
              </w:rPr>
            </w:pPr>
            <w:r w:rsidRPr="773C0E45">
              <w:rPr>
                <w:rFonts w:ascii="Aptos" w:eastAsia="Aptos" w:hAnsi="Aptos" w:cs="Aptos"/>
                <w:sz w:val="22"/>
                <w:szCs w:val="22"/>
              </w:rPr>
              <w:t>Maximum of 10 points</w:t>
            </w:r>
          </w:p>
          <w:p w14:paraId="1D5D4B53" w14:textId="397D4D1B" w:rsidR="773C0E45" w:rsidRDefault="773C0E45" w:rsidP="773C0E45">
            <w:pPr>
              <w:spacing w:after="0"/>
              <w:rPr>
                <w:rFonts w:ascii="Aptos" w:eastAsia="Aptos" w:hAnsi="Aptos" w:cs="Aptos"/>
                <w:sz w:val="22"/>
                <w:szCs w:val="22"/>
              </w:rPr>
            </w:pPr>
          </w:p>
        </w:tc>
      </w:tr>
      <w:tr w:rsidR="773C0E45" w14:paraId="3500B5E2" w14:textId="77777777" w:rsidTr="773C0E45">
        <w:trPr>
          <w:trHeight w:val="300"/>
        </w:trPr>
        <w:tc>
          <w:tcPr>
            <w:tcW w:w="6375" w:type="dxa"/>
            <w:tcMar>
              <w:left w:w="105" w:type="dxa"/>
              <w:right w:w="105" w:type="dxa"/>
            </w:tcMar>
          </w:tcPr>
          <w:p w14:paraId="09C8157C" w14:textId="68CFB132" w:rsidR="773C0E45" w:rsidRDefault="773C0E45" w:rsidP="773C0E45">
            <w:pPr>
              <w:spacing w:after="0"/>
              <w:rPr>
                <w:rFonts w:ascii="Aptos" w:eastAsia="Aptos" w:hAnsi="Aptos" w:cs="Aptos"/>
                <w:sz w:val="22"/>
                <w:szCs w:val="22"/>
              </w:rPr>
            </w:pPr>
            <w:r w:rsidRPr="773C0E45">
              <w:rPr>
                <w:rFonts w:ascii="Aptos" w:eastAsia="Aptos" w:hAnsi="Aptos" w:cs="Aptos"/>
                <w:b/>
                <w:bCs/>
                <w:sz w:val="22"/>
                <w:szCs w:val="22"/>
              </w:rPr>
              <w:t xml:space="preserve">Environmental criteria: </w:t>
            </w:r>
          </w:p>
          <w:p w14:paraId="03F5113C" w14:textId="7F8CDAB8" w:rsidR="773C0E45" w:rsidRDefault="773C0E45" w:rsidP="773C0E45">
            <w:pPr>
              <w:spacing w:after="0"/>
              <w:rPr>
                <w:rFonts w:ascii="Aptos" w:eastAsia="Aptos" w:hAnsi="Aptos" w:cs="Aptos"/>
                <w:sz w:val="22"/>
                <w:szCs w:val="22"/>
              </w:rPr>
            </w:pPr>
            <w:r w:rsidRPr="773C0E45">
              <w:rPr>
                <w:rFonts w:ascii="Aptos" w:eastAsia="Aptos" w:hAnsi="Aptos" w:cs="Aptos"/>
                <w:sz w:val="22"/>
                <w:szCs w:val="22"/>
              </w:rPr>
              <w:t>Jewels of the Axe, Invasive Species Control, River Restoration, Nature Based Solutions, Biodiversity and Monitoring</w:t>
            </w:r>
          </w:p>
        </w:tc>
        <w:tc>
          <w:tcPr>
            <w:tcW w:w="2625" w:type="dxa"/>
            <w:tcMar>
              <w:left w:w="105" w:type="dxa"/>
              <w:right w:w="105" w:type="dxa"/>
            </w:tcMar>
          </w:tcPr>
          <w:p w14:paraId="73C52866" w14:textId="6A56D25C" w:rsidR="773C0E45" w:rsidRDefault="773C0E45" w:rsidP="773C0E45">
            <w:pPr>
              <w:spacing w:after="0"/>
              <w:rPr>
                <w:rFonts w:ascii="Aptos" w:eastAsia="Aptos" w:hAnsi="Aptos" w:cs="Aptos"/>
                <w:sz w:val="22"/>
                <w:szCs w:val="22"/>
              </w:rPr>
            </w:pPr>
          </w:p>
          <w:p w14:paraId="4A5932A9" w14:textId="2E343D86" w:rsidR="773C0E45" w:rsidRDefault="773C0E45" w:rsidP="773C0E45">
            <w:pPr>
              <w:spacing w:after="0"/>
              <w:rPr>
                <w:rFonts w:ascii="Aptos" w:eastAsia="Aptos" w:hAnsi="Aptos" w:cs="Aptos"/>
                <w:sz w:val="22"/>
                <w:szCs w:val="22"/>
              </w:rPr>
            </w:pPr>
            <w:r w:rsidRPr="773C0E45">
              <w:rPr>
                <w:rFonts w:ascii="Aptos" w:eastAsia="Aptos" w:hAnsi="Aptos" w:cs="Aptos"/>
                <w:sz w:val="22"/>
                <w:szCs w:val="22"/>
              </w:rPr>
              <w:t>Maximum of 10 points</w:t>
            </w:r>
          </w:p>
        </w:tc>
      </w:tr>
      <w:tr w:rsidR="773C0E45" w14:paraId="505B2C13" w14:textId="77777777" w:rsidTr="773C0E45">
        <w:trPr>
          <w:trHeight w:val="300"/>
        </w:trPr>
        <w:tc>
          <w:tcPr>
            <w:tcW w:w="6375" w:type="dxa"/>
            <w:tcMar>
              <w:left w:w="105" w:type="dxa"/>
              <w:right w:w="105" w:type="dxa"/>
            </w:tcMar>
          </w:tcPr>
          <w:p w14:paraId="62B8B506" w14:textId="42D3E37F" w:rsidR="773C0E45" w:rsidRDefault="773C0E45" w:rsidP="773C0E45">
            <w:pPr>
              <w:spacing w:after="0"/>
              <w:rPr>
                <w:rFonts w:ascii="Aptos" w:eastAsia="Aptos" w:hAnsi="Aptos" w:cs="Aptos"/>
                <w:sz w:val="22"/>
                <w:szCs w:val="22"/>
              </w:rPr>
            </w:pPr>
            <w:r w:rsidRPr="773C0E45">
              <w:rPr>
                <w:rFonts w:ascii="Aptos" w:eastAsia="Aptos" w:hAnsi="Aptos" w:cs="Aptos"/>
                <w:b/>
                <w:bCs/>
                <w:sz w:val="22"/>
                <w:szCs w:val="22"/>
              </w:rPr>
              <w:t>Social criteria:</w:t>
            </w:r>
            <w:r w:rsidRPr="773C0E45">
              <w:rPr>
                <w:rFonts w:ascii="Aptos" w:eastAsia="Aptos" w:hAnsi="Aptos" w:cs="Aptos"/>
                <w:sz w:val="22"/>
                <w:szCs w:val="22"/>
              </w:rPr>
              <w:t xml:space="preserve"> </w:t>
            </w:r>
          </w:p>
          <w:p w14:paraId="416A25CD" w14:textId="2B8D59BC" w:rsidR="773C0E45" w:rsidRDefault="773C0E45" w:rsidP="773C0E45">
            <w:pPr>
              <w:spacing w:after="0"/>
              <w:rPr>
                <w:rFonts w:ascii="Aptos" w:eastAsia="Aptos" w:hAnsi="Aptos" w:cs="Aptos"/>
                <w:sz w:val="22"/>
                <w:szCs w:val="22"/>
              </w:rPr>
            </w:pPr>
            <w:r w:rsidRPr="773C0E45">
              <w:rPr>
                <w:rFonts w:ascii="Aptos" w:eastAsia="Aptos" w:hAnsi="Aptos" w:cs="Aptos"/>
                <w:sz w:val="22"/>
                <w:szCs w:val="22"/>
              </w:rPr>
              <w:t>Community engagement, Empowerment, Collaboration, Connection, Wellbeing, Cultural, Understanding &amp; Volunteering</w:t>
            </w:r>
          </w:p>
        </w:tc>
        <w:tc>
          <w:tcPr>
            <w:tcW w:w="2625" w:type="dxa"/>
            <w:tcMar>
              <w:left w:w="105" w:type="dxa"/>
              <w:right w:w="105" w:type="dxa"/>
            </w:tcMar>
          </w:tcPr>
          <w:p w14:paraId="5A299121" w14:textId="0F344739" w:rsidR="773C0E45" w:rsidRDefault="773C0E45" w:rsidP="773C0E45">
            <w:pPr>
              <w:spacing w:after="0"/>
              <w:rPr>
                <w:rFonts w:ascii="Aptos" w:eastAsia="Aptos" w:hAnsi="Aptos" w:cs="Aptos"/>
                <w:sz w:val="22"/>
                <w:szCs w:val="22"/>
              </w:rPr>
            </w:pPr>
          </w:p>
          <w:p w14:paraId="6E63ED1F" w14:textId="27A137E7" w:rsidR="773C0E45" w:rsidRDefault="773C0E45" w:rsidP="773C0E45">
            <w:pPr>
              <w:spacing w:after="0"/>
              <w:rPr>
                <w:rFonts w:ascii="Aptos" w:eastAsia="Aptos" w:hAnsi="Aptos" w:cs="Aptos"/>
                <w:sz w:val="22"/>
                <w:szCs w:val="22"/>
              </w:rPr>
            </w:pPr>
            <w:r w:rsidRPr="773C0E45">
              <w:rPr>
                <w:rFonts w:ascii="Aptos" w:eastAsia="Aptos" w:hAnsi="Aptos" w:cs="Aptos"/>
                <w:sz w:val="22"/>
                <w:szCs w:val="22"/>
              </w:rPr>
              <w:t>Maximum of 10 points</w:t>
            </w:r>
          </w:p>
          <w:p w14:paraId="075414F9" w14:textId="06C5E325" w:rsidR="773C0E45" w:rsidRDefault="773C0E45" w:rsidP="773C0E45">
            <w:pPr>
              <w:spacing w:after="0"/>
              <w:rPr>
                <w:rFonts w:ascii="Aptos" w:eastAsia="Aptos" w:hAnsi="Aptos" w:cs="Aptos"/>
                <w:sz w:val="22"/>
                <w:szCs w:val="22"/>
              </w:rPr>
            </w:pPr>
          </w:p>
        </w:tc>
      </w:tr>
      <w:tr w:rsidR="773C0E45" w14:paraId="306702AB" w14:textId="77777777" w:rsidTr="773C0E45">
        <w:trPr>
          <w:trHeight w:val="300"/>
        </w:trPr>
        <w:tc>
          <w:tcPr>
            <w:tcW w:w="6375" w:type="dxa"/>
            <w:tcMar>
              <w:left w:w="105" w:type="dxa"/>
              <w:right w:w="105" w:type="dxa"/>
            </w:tcMar>
          </w:tcPr>
          <w:p w14:paraId="0041004C" w14:textId="204CE57E" w:rsidR="773C0E45" w:rsidRDefault="773C0E45" w:rsidP="773C0E45">
            <w:pPr>
              <w:spacing w:after="0"/>
              <w:rPr>
                <w:rFonts w:ascii="Aptos" w:eastAsia="Aptos" w:hAnsi="Aptos" w:cs="Aptos"/>
                <w:sz w:val="22"/>
                <w:szCs w:val="22"/>
              </w:rPr>
            </w:pPr>
            <w:r w:rsidRPr="773C0E45">
              <w:rPr>
                <w:rFonts w:ascii="Aptos" w:eastAsia="Aptos" w:hAnsi="Aptos" w:cs="Aptos"/>
                <w:b/>
                <w:bCs/>
                <w:sz w:val="22"/>
                <w:szCs w:val="22"/>
              </w:rPr>
              <w:t xml:space="preserve">Economic &amp; Legacy criteria: </w:t>
            </w:r>
          </w:p>
          <w:p w14:paraId="22EC4D56" w14:textId="1C5087AD" w:rsidR="773C0E45" w:rsidRDefault="773C0E45" w:rsidP="773C0E45">
            <w:pPr>
              <w:spacing w:after="0"/>
              <w:rPr>
                <w:rFonts w:ascii="Aptos" w:eastAsia="Aptos" w:hAnsi="Aptos" w:cs="Aptos"/>
                <w:sz w:val="22"/>
                <w:szCs w:val="22"/>
              </w:rPr>
            </w:pPr>
            <w:r w:rsidRPr="773C0E45">
              <w:rPr>
                <w:rFonts w:ascii="Aptos" w:eastAsia="Aptos" w:hAnsi="Aptos" w:cs="Aptos"/>
                <w:sz w:val="22"/>
                <w:szCs w:val="22"/>
              </w:rPr>
              <w:t>Value for money, Ability to deliver in time frame, Legacy (e.g. lasting positive impact, continue for the longer term)</w:t>
            </w:r>
          </w:p>
        </w:tc>
        <w:tc>
          <w:tcPr>
            <w:tcW w:w="2625" w:type="dxa"/>
            <w:tcMar>
              <w:left w:w="105" w:type="dxa"/>
              <w:right w:w="105" w:type="dxa"/>
            </w:tcMar>
          </w:tcPr>
          <w:p w14:paraId="4410A450" w14:textId="0B929F4A" w:rsidR="773C0E45" w:rsidRDefault="773C0E45" w:rsidP="773C0E45">
            <w:pPr>
              <w:spacing w:after="0"/>
              <w:rPr>
                <w:rFonts w:ascii="Aptos" w:eastAsia="Aptos" w:hAnsi="Aptos" w:cs="Aptos"/>
                <w:sz w:val="22"/>
                <w:szCs w:val="22"/>
              </w:rPr>
            </w:pPr>
          </w:p>
          <w:p w14:paraId="35898BFD" w14:textId="6BD1E31E" w:rsidR="773C0E45" w:rsidRDefault="773C0E45" w:rsidP="773C0E45">
            <w:pPr>
              <w:spacing w:after="0"/>
              <w:rPr>
                <w:rFonts w:ascii="Aptos" w:eastAsia="Aptos" w:hAnsi="Aptos" w:cs="Aptos"/>
                <w:sz w:val="22"/>
                <w:szCs w:val="22"/>
              </w:rPr>
            </w:pPr>
            <w:r w:rsidRPr="773C0E45">
              <w:rPr>
                <w:rFonts w:ascii="Aptos" w:eastAsia="Aptos" w:hAnsi="Aptos" w:cs="Aptos"/>
                <w:sz w:val="22"/>
                <w:szCs w:val="22"/>
              </w:rPr>
              <w:t>Maximum of 12 points</w:t>
            </w:r>
          </w:p>
          <w:p w14:paraId="657170D0" w14:textId="40388A61" w:rsidR="773C0E45" w:rsidRDefault="773C0E45" w:rsidP="773C0E45">
            <w:pPr>
              <w:spacing w:after="0"/>
              <w:rPr>
                <w:rFonts w:ascii="Aptos" w:eastAsia="Aptos" w:hAnsi="Aptos" w:cs="Aptos"/>
                <w:sz w:val="22"/>
                <w:szCs w:val="22"/>
              </w:rPr>
            </w:pPr>
          </w:p>
        </w:tc>
      </w:tr>
      <w:tr w:rsidR="773C0E45" w14:paraId="55A3AC6B" w14:textId="77777777" w:rsidTr="773C0E45">
        <w:trPr>
          <w:trHeight w:val="300"/>
        </w:trPr>
        <w:tc>
          <w:tcPr>
            <w:tcW w:w="9000" w:type="dxa"/>
            <w:gridSpan w:val="2"/>
            <w:tcMar>
              <w:left w:w="105" w:type="dxa"/>
              <w:right w:w="105" w:type="dxa"/>
            </w:tcMar>
          </w:tcPr>
          <w:p w14:paraId="68B68C85" w14:textId="6E97CD19" w:rsidR="773C0E45" w:rsidRDefault="773C0E45" w:rsidP="773C0E45">
            <w:pPr>
              <w:spacing w:before="240" w:after="240"/>
              <w:rPr>
                <w:rFonts w:ascii="Aptos" w:eastAsia="Aptos" w:hAnsi="Aptos" w:cs="Aptos"/>
                <w:color w:val="000000" w:themeColor="text1"/>
                <w:sz w:val="22"/>
                <w:szCs w:val="22"/>
              </w:rPr>
            </w:pPr>
            <w:r w:rsidRPr="773C0E45">
              <w:rPr>
                <w:rFonts w:ascii="Aptos" w:eastAsia="Aptos" w:hAnsi="Aptos" w:cs="Aptos"/>
                <w:color w:val="000000" w:themeColor="text1"/>
                <w:sz w:val="22"/>
                <w:szCs w:val="22"/>
              </w:rPr>
              <w:t>TOTAL (Scores of 20 or more will be considered for funding. (Maximum 42).</w:t>
            </w:r>
          </w:p>
        </w:tc>
      </w:tr>
    </w:tbl>
    <w:p w14:paraId="0DEFF55B" w14:textId="5E18B8D8" w:rsidR="00B17D09" w:rsidRDefault="6961AD43" w:rsidP="773C0E45">
      <w:pPr>
        <w:spacing w:before="240" w:after="240"/>
        <w:rPr>
          <w:rFonts w:ascii="Aptos" w:eastAsia="Aptos" w:hAnsi="Aptos" w:cs="Aptos"/>
          <w:color w:val="000000" w:themeColor="text1"/>
        </w:rPr>
      </w:pPr>
      <w:r w:rsidRPr="773C0E45">
        <w:rPr>
          <w:rFonts w:ascii="Aptos" w:eastAsia="Aptos" w:hAnsi="Aptos" w:cs="Aptos"/>
          <w:color w:val="000000" w:themeColor="text1"/>
        </w:rPr>
        <w:t xml:space="preserve">Applications that meet the scoring threshold will be presented to a panel who will further mark, rank and discuss which to take forward. </w:t>
      </w:r>
    </w:p>
    <w:p w14:paraId="3D8B3322" w14:textId="5A6CE907" w:rsidR="00B17D09" w:rsidRDefault="6961AD43" w:rsidP="773C0E45">
      <w:pPr>
        <w:spacing w:before="240" w:after="240"/>
        <w:rPr>
          <w:rFonts w:ascii="Aptos" w:eastAsia="Aptos" w:hAnsi="Aptos" w:cs="Aptos"/>
          <w:color w:val="000000" w:themeColor="text1"/>
        </w:rPr>
      </w:pPr>
      <w:r w:rsidRPr="773C0E45">
        <w:rPr>
          <w:rFonts w:ascii="Aptos" w:eastAsia="Aptos" w:hAnsi="Aptos" w:cs="Aptos"/>
          <w:color w:val="000000" w:themeColor="text1"/>
        </w:rPr>
        <w:lastRenderedPageBreak/>
        <w:t>A consensus will be made, and applicants will then be informed if they have been successful</w:t>
      </w:r>
      <w:r w:rsidRPr="773C0E45">
        <w:rPr>
          <w:rFonts w:ascii="Aptos" w:eastAsia="Aptos" w:hAnsi="Aptos" w:cs="Aptos"/>
          <w:b/>
          <w:bCs/>
          <w:color w:val="000000" w:themeColor="text1"/>
        </w:rPr>
        <w:t xml:space="preserve"> early September 2025</w:t>
      </w:r>
      <w:r w:rsidRPr="773C0E45">
        <w:rPr>
          <w:rFonts w:ascii="Aptos" w:eastAsia="Aptos" w:hAnsi="Aptos" w:cs="Aptos"/>
          <w:color w:val="000000" w:themeColor="text1"/>
        </w:rPr>
        <w:t>. Feedback will be provided to applications that do not receive a grant.  This is a pilot, and if the whole project is successful there will be more opportunities to bid for support in coming years.</w:t>
      </w:r>
    </w:p>
    <w:p w14:paraId="69041D67" w14:textId="0F128932" w:rsidR="00B17D09" w:rsidRDefault="0DD060AA" w:rsidP="773C0E45">
      <w:pPr>
        <w:spacing w:before="240" w:after="240"/>
        <w:rPr>
          <w:rFonts w:ascii="Aptos" w:eastAsia="Aptos" w:hAnsi="Aptos" w:cs="Aptos"/>
          <w:color w:val="000000" w:themeColor="text1"/>
        </w:rPr>
      </w:pPr>
      <w:r w:rsidRPr="773C0E45">
        <w:rPr>
          <w:rFonts w:ascii="Aptos" w:eastAsia="Aptos" w:hAnsi="Aptos" w:cs="Aptos"/>
          <w:color w:val="000000" w:themeColor="text1"/>
        </w:rPr>
        <w:t xml:space="preserve">Finally please check you are in the </w:t>
      </w:r>
      <w:r w:rsidRPr="773C0E45">
        <w:rPr>
          <w:rFonts w:ascii="Aptos" w:eastAsia="Aptos" w:hAnsi="Aptos" w:cs="Aptos"/>
          <w:b/>
          <w:bCs/>
          <w:color w:val="000000" w:themeColor="text1"/>
        </w:rPr>
        <w:t>pilot project area</w:t>
      </w:r>
      <w:r w:rsidRPr="773C0E45">
        <w:rPr>
          <w:rFonts w:ascii="Aptos" w:eastAsia="Aptos" w:hAnsi="Aptos" w:cs="Aptos"/>
          <w:color w:val="000000" w:themeColor="text1"/>
        </w:rPr>
        <w:t>:</w:t>
      </w:r>
    </w:p>
    <w:p w14:paraId="2DF20E91" w14:textId="2339B752" w:rsidR="00B17D09" w:rsidRDefault="0DD060AA" w:rsidP="773C0E45">
      <w:pPr>
        <w:spacing w:before="240" w:after="240"/>
      </w:pPr>
      <w:r>
        <w:rPr>
          <w:noProof/>
        </w:rPr>
        <w:drawing>
          <wp:inline distT="0" distB="0" distL="0" distR="0" wp14:anchorId="5035ED2B" wp14:editId="65254546">
            <wp:extent cx="5566131" cy="4974766"/>
            <wp:effectExtent l="0" t="0" r="0" b="0"/>
            <wp:docPr id="1906312504" name="Picture 1906312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5566131" cy="4974766"/>
                    </a:xfrm>
                    <a:prstGeom prst="rect">
                      <a:avLst/>
                    </a:prstGeom>
                  </pic:spPr>
                </pic:pic>
              </a:graphicData>
            </a:graphic>
          </wp:inline>
        </w:drawing>
      </w:r>
    </w:p>
    <w:p w14:paraId="5E5787A5" w14:textId="65FA5DC7" w:rsidR="00B17D09" w:rsidRDefault="00B17D09"/>
    <w:sectPr w:rsidR="00B17D09">
      <w:headerReference w:type="default" r:id="rId7"/>
      <w:foot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CC55C" w14:textId="77777777" w:rsidR="00A41275" w:rsidRDefault="00A41275">
      <w:pPr>
        <w:spacing w:after="0" w:line="240" w:lineRule="auto"/>
      </w:pPr>
      <w:r>
        <w:separator/>
      </w:r>
    </w:p>
  </w:endnote>
  <w:endnote w:type="continuationSeparator" w:id="0">
    <w:p w14:paraId="757C44DF" w14:textId="77777777" w:rsidR="00A41275" w:rsidRDefault="00A41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73C0E45" w14:paraId="4E03A6C6" w14:textId="77777777" w:rsidTr="773C0E45">
      <w:trPr>
        <w:trHeight w:val="300"/>
      </w:trPr>
      <w:tc>
        <w:tcPr>
          <w:tcW w:w="3005" w:type="dxa"/>
        </w:tcPr>
        <w:p w14:paraId="4A775118" w14:textId="0CB00912" w:rsidR="773C0E45" w:rsidRDefault="773C0E45" w:rsidP="773C0E45">
          <w:pPr>
            <w:pStyle w:val="Header"/>
            <w:ind w:left="-115"/>
          </w:pPr>
        </w:p>
      </w:tc>
      <w:tc>
        <w:tcPr>
          <w:tcW w:w="3005" w:type="dxa"/>
        </w:tcPr>
        <w:p w14:paraId="6516F7D4" w14:textId="115447F0" w:rsidR="773C0E45" w:rsidRDefault="773C0E45" w:rsidP="773C0E45">
          <w:pPr>
            <w:pStyle w:val="Header"/>
            <w:jc w:val="center"/>
          </w:pPr>
        </w:p>
      </w:tc>
      <w:tc>
        <w:tcPr>
          <w:tcW w:w="3005" w:type="dxa"/>
        </w:tcPr>
        <w:p w14:paraId="2451A3E3" w14:textId="60522401" w:rsidR="773C0E45" w:rsidRDefault="773C0E45" w:rsidP="773C0E45">
          <w:pPr>
            <w:pStyle w:val="Header"/>
            <w:ind w:right="-115"/>
            <w:jc w:val="right"/>
          </w:pPr>
        </w:p>
      </w:tc>
    </w:tr>
  </w:tbl>
  <w:p w14:paraId="0D36A3B0" w14:textId="78EFE29E" w:rsidR="773C0E45" w:rsidRDefault="773C0E45" w:rsidP="773C0E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17E60" w14:textId="77777777" w:rsidR="00A41275" w:rsidRDefault="00A41275">
      <w:pPr>
        <w:spacing w:after="0" w:line="240" w:lineRule="auto"/>
      </w:pPr>
      <w:r>
        <w:separator/>
      </w:r>
    </w:p>
  </w:footnote>
  <w:footnote w:type="continuationSeparator" w:id="0">
    <w:p w14:paraId="6AED5FC8" w14:textId="77777777" w:rsidR="00A41275" w:rsidRDefault="00A412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143A4" w14:textId="7E6DB1D1" w:rsidR="773C0E45" w:rsidRDefault="773C0E45">
    <w:r>
      <w:rPr>
        <w:noProof/>
      </w:rPr>
      <w:drawing>
        <wp:inline distT="0" distB="0" distL="0" distR="0" wp14:anchorId="1D6F51D3" wp14:editId="7030B98F">
          <wp:extent cx="2505075" cy="685800"/>
          <wp:effectExtent l="0" t="0" r="0" b="0"/>
          <wp:docPr id="1103682321" name="Picture 1103682321" descr="Picture 188684465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505075" cy="6858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9EA3EAB"/>
    <w:rsid w:val="005F2697"/>
    <w:rsid w:val="006355A6"/>
    <w:rsid w:val="00A41275"/>
    <w:rsid w:val="00B17D09"/>
    <w:rsid w:val="00E534B3"/>
    <w:rsid w:val="0DD060AA"/>
    <w:rsid w:val="21E6D60B"/>
    <w:rsid w:val="25F1787C"/>
    <w:rsid w:val="38D9F45A"/>
    <w:rsid w:val="3C1DACEE"/>
    <w:rsid w:val="512E64A7"/>
    <w:rsid w:val="6961AD43"/>
    <w:rsid w:val="71A714EE"/>
    <w:rsid w:val="773C0E45"/>
    <w:rsid w:val="79431C8F"/>
    <w:rsid w:val="79CDAE47"/>
    <w:rsid w:val="79EA3EA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A3EAB"/>
  <w15:chartTrackingRefBased/>
  <w15:docId w15:val="{45677A26-EEDC-4AE8-94CD-5CCA37FDA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773C0E45"/>
    <w:pPr>
      <w:tabs>
        <w:tab w:val="center" w:pos="4680"/>
        <w:tab w:val="right" w:pos="9360"/>
      </w:tabs>
      <w:spacing w:after="0" w:line="240" w:lineRule="auto"/>
    </w:pPr>
  </w:style>
  <w:style w:type="paragraph" w:styleId="Footer">
    <w:name w:val="footer"/>
    <w:basedOn w:val="Normal"/>
    <w:uiPriority w:val="99"/>
    <w:unhideWhenUsed/>
    <w:rsid w:val="773C0E45"/>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2086</Characters>
  <Application>Microsoft Office Word</Application>
  <DocSecurity>0</DocSecurity>
  <Lines>17</Lines>
  <Paragraphs>4</Paragraphs>
  <ScaleCrop>false</ScaleCrop>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Robertson</dc:creator>
  <cp:keywords/>
  <dc:description/>
  <cp:lastModifiedBy>Jane Robertson</cp:lastModifiedBy>
  <cp:revision>2</cp:revision>
  <dcterms:created xsi:type="dcterms:W3CDTF">2025-06-18T15:13:00Z</dcterms:created>
  <dcterms:modified xsi:type="dcterms:W3CDTF">2025-06-18T15:13:00Z</dcterms:modified>
</cp:coreProperties>
</file>